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49B84BBF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>По объекту: «</w:t>
      </w:r>
      <w:r w:rsidR="008C77F8" w:rsidRPr="008C77F8">
        <w:rPr>
          <w:rFonts w:eastAsiaTheme="minorEastAsia"/>
          <w:b w:val="0"/>
          <w:bCs/>
          <w:noProof w:val="0"/>
          <w:sz w:val="24"/>
          <w:szCs w:val="24"/>
        </w:rPr>
        <w:t>Оборудование гидрозолоудаления багерной насосной. Инв. № ИЭ9141174. Техническое перевооружение. Замена багерного насоса БН-2 на модернизированный тип ГрТ 1250/71  без ЭД</w:t>
      </w:r>
      <w:r w:rsidRPr="006D0ABD">
        <w:rPr>
          <w:rFonts w:eastAsiaTheme="minorEastAsia"/>
          <w:b w:val="0"/>
          <w:bCs/>
          <w:noProof w:val="0"/>
          <w:sz w:val="24"/>
          <w:szCs w:val="24"/>
        </w:rPr>
        <w:t>»</w:t>
      </w:r>
      <w:r w:rsidR="008C77F8">
        <w:rPr>
          <w:rFonts w:eastAsiaTheme="minorEastAsia"/>
          <w:b w:val="0"/>
          <w:bCs/>
          <w:noProof w:val="0"/>
          <w:sz w:val="24"/>
          <w:szCs w:val="24"/>
        </w:rPr>
        <w:t>, «</w:t>
      </w:r>
      <w:r w:rsidR="008C77F8" w:rsidRPr="008C77F8">
        <w:rPr>
          <w:rFonts w:eastAsiaTheme="minorEastAsia"/>
          <w:b w:val="0"/>
          <w:bCs/>
          <w:noProof w:val="0"/>
          <w:sz w:val="24"/>
          <w:szCs w:val="24"/>
        </w:rPr>
        <w:t>Оборудование багерной насосной N 2. Инв. № ИЭ9141399. Техническое перевооружение Замена багерного насоса БН-9 на модернизированный тип ГрТ 1250/71 без ЭД</w:t>
      </w:r>
      <w:r w:rsidR="008C77F8">
        <w:rPr>
          <w:rFonts w:eastAsiaTheme="minorEastAsia"/>
          <w:b w:val="0"/>
          <w:bCs/>
          <w:noProof w:val="0"/>
          <w:sz w:val="24"/>
          <w:szCs w:val="24"/>
        </w:rPr>
        <w:t>»</w:t>
      </w:r>
      <w:r w:rsidR="008C77F8" w:rsidRPr="008C77F8">
        <w:rPr>
          <w:rFonts w:eastAsiaTheme="minorEastAsia"/>
          <w:b w:val="0"/>
          <w:bCs/>
          <w:noProof w:val="0"/>
          <w:sz w:val="24"/>
          <w:szCs w:val="24"/>
        </w:rPr>
        <w:t>.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№421/пр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«Энергоремонт».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ОТтек и ОТмтек)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ЭММтек) (маш.-час)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«Энергоремонт»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информационно-телекоммутационной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lastRenderedPageBreak/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Методикой определения затрат на строительство временных зданий и сооружений утвержденной приказом Минстроя РФ от 19.06.2020 г. №332/пр (актуальная редакция) (далее, Методика </w:t>
      </w:r>
      <w:bookmarkStart w:id="0" w:name="_Hlk208303848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r w:rsidRPr="007A4D06">
        <w:rPr>
          <w:rFonts w:ascii="Times New Roman" w:hAnsi="Times New Roman" w:cs="Times New Roman"/>
          <w:sz w:val="24"/>
          <w:szCs w:val="24"/>
        </w:rPr>
        <w:t>ВЗиС, в % от стоимости СМР, с учетом п. 25 Методики ВЗиС.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325/пр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среднезимние нормы, путем деления среднегодового норматива на удельный вес зимнего периода в году по таблице 1 Методики ЗУ, с начислением получившегося среднезимнего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7F8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Смирнова Елена Валерьевна</cp:lastModifiedBy>
  <cp:revision>4</cp:revision>
  <cp:lastPrinted>2025-04-03T00:54:00Z</cp:lastPrinted>
  <dcterms:created xsi:type="dcterms:W3CDTF">2026-07-22T02:26:00Z</dcterms:created>
  <dcterms:modified xsi:type="dcterms:W3CDTF">2026-07-22T04:29:00Z</dcterms:modified>
</cp:coreProperties>
</file>